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Times New Roman"/>
          <w:bCs/>
          <w:sz w:val="32"/>
          <w:szCs w:val="32"/>
          <w:lang w:eastAsia="zh-CN"/>
        </w:rPr>
      </w:pPr>
      <w:r>
        <w:rPr>
          <w:rFonts w:hint="eastAsia" w:ascii="黑体" w:hAnsi="黑体" w:eastAsia="黑体" w:cs="Times New Roman"/>
          <w:bCs/>
          <w:sz w:val="32"/>
          <w:szCs w:val="32"/>
        </w:rPr>
        <w:t>附件</w:t>
      </w:r>
      <w:r>
        <w:rPr>
          <w:rFonts w:hint="eastAsia" w:ascii="黑体" w:hAnsi="黑体" w:eastAsia="黑体" w:cs="Times New Roman"/>
          <w:bCs/>
          <w:sz w:val="32"/>
          <w:szCs w:val="32"/>
          <w:lang w:val="en-US" w:eastAsia="zh-CN"/>
        </w:rPr>
        <w:t>2</w:t>
      </w:r>
    </w:p>
    <w:p>
      <w:pPr>
        <w:adjustRightInd w:val="0"/>
        <w:snapToGrid w:val="0"/>
        <w:jc w:val="center"/>
        <w:rPr>
          <w:rFonts w:ascii="方正小标宋简体" w:hAnsi="方正小标宋简体" w:eastAsia="方正小标宋简体" w:cs="方正小标宋简体"/>
          <w:sz w:val="36"/>
          <w:szCs w:val="36"/>
        </w:rPr>
      </w:pPr>
    </w:p>
    <w:p>
      <w:pPr>
        <w:adjustRightInd w:val="0"/>
        <w:snapToGrid w:val="0"/>
        <w:jc w:val="center"/>
        <w:rPr>
          <w:rFonts w:hint="eastAsia" w:ascii="Times New Roman" w:hAnsi="Times New Roman" w:eastAsia="方正小标宋简体"/>
          <w:bCs/>
          <w:sz w:val="36"/>
          <w:szCs w:val="36"/>
        </w:rPr>
      </w:pPr>
      <w:r>
        <w:rPr>
          <w:rFonts w:hint="eastAsia" w:ascii="Times New Roman" w:hAnsi="Times New Roman" w:eastAsia="方正小标宋简体"/>
          <w:bCs/>
          <w:sz w:val="36"/>
          <w:szCs w:val="36"/>
        </w:rPr>
        <w:t>北京理工大学第</w:t>
      </w:r>
      <w:r>
        <w:rPr>
          <w:rFonts w:hint="eastAsia" w:ascii="Times New Roman" w:hAnsi="Times New Roman" w:eastAsia="方正小标宋简体"/>
          <w:bCs/>
          <w:sz w:val="36"/>
          <w:szCs w:val="36"/>
          <w:lang w:val="en-US" w:eastAsia="zh-CN"/>
        </w:rPr>
        <w:t>二</w:t>
      </w:r>
      <w:r>
        <w:rPr>
          <w:rFonts w:hint="eastAsia" w:ascii="Times New Roman" w:hAnsi="Times New Roman" w:eastAsia="方正小标宋简体"/>
          <w:bCs/>
          <w:sz w:val="36"/>
          <w:szCs w:val="36"/>
        </w:rPr>
        <w:t>届教师教学创新大赛</w:t>
      </w:r>
    </w:p>
    <w:p>
      <w:pPr>
        <w:adjustRightInd w:val="0"/>
        <w:snapToGrid w:val="0"/>
        <w:jc w:val="center"/>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z w:val="36"/>
          <w:szCs w:val="36"/>
        </w:rPr>
        <w:t>产教融合赛道</w:t>
      </w:r>
      <w:bookmarkStart w:id="7" w:name="_GoBack"/>
      <w:r>
        <w:rPr>
          <w:rFonts w:ascii="方正小标宋简体" w:hAnsi="方正小标宋简体" w:eastAsia="方正小标宋简体" w:cs="方正小标宋简体"/>
          <w:sz w:val="36"/>
          <w:szCs w:val="36"/>
        </w:rPr>
        <w:t>评分标准</w:t>
      </w:r>
      <w:bookmarkEnd w:id="7"/>
    </w:p>
    <w:p>
      <w:pPr>
        <w:spacing w:before="240" w:beforeLines="100" w:after="240" w:afterLines="100"/>
        <w:rPr>
          <w:rFonts w:ascii="Times New Roman" w:hAnsi="Times New Roman" w:eastAsia="黑体" w:cs="Times New Roman"/>
          <w:bCs/>
          <w:color w:val="000000"/>
          <w:sz w:val="28"/>
          <w:szCs w:val="28"/>
          <w:lang w:bidi="en-US"/>
        </w:rPr>
      </w:pPr>
      <w:r>
        <w:rPr>
          <w:rFonts w:ascii="Times New Roman" w:hAnsi="Times New Roman" w:eastAsia="黑体" w:cs="Times New Roman"/>
          <w:bCs/>
          <w:color w:val="000000"/>
          <w:sz w:val="28"/>
          <w:szCs w:val="28"/>
          <w:lang w:bidi="en-US"/>
        </w:rPr>
        <w:t>一 、课堂教学实录视频（40分）</w:t>
      </w:r>
    </w:p>
    <w:tbl>
      <w:tblPr>
        <w:tblStyle w:val="3"/>
        <w:tblW w:w="52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0" w:type="pct"/>
            <w:vAlign w:val="center"/>
          </w:tcPr>
          <w:p>
            <w:pPr>
              <w:widowControl w:val="0"/>
              <w:jc w:val="center"/>
              <w:rPr>
                <w:rFonts w:ascii="Times New Roman" w:hAnsi="Times New Roman" w:eastAsia="黑体" w:cs="Times New Roman"/>
                <w:b/>
                <w:bCs/>
                <w:spacing w:val="-12"/>
                <w:kern w:val="2"/>
                <w:lang w:eastAsia="en-US" w:bidi="en-US"/>
              </w:rPr>
            </w:pPr>
            <w:r>
              <w:rPr>
                <w:rFonts w:ascii="Times New Roman" w:hAnsi="Times New Roman" w:eastAsia="黑体" w:cs="Times New Roman"/>
                <w:b/>
                <w:bCs/>
                <w:spacing w:val="-12"/>
                <w:kern w:val="2"/>
                <w:lang w:eastAsia="en-US" w:bidi="en-US"/>
              </w:rPr>
              <w:t>评价维度</w:t>
            </w:r>
          </w:p>
        </w:tc>
        <w:tc>
          <w:tcPr>
            <w:tcW w:w="4140" w:type="pct"/>
            <w:vAlign w:val="center"/>
          </w:tcPr>
          <w:p>
            <w:pPr>
              <w:widowControl w:val="0"/>
              <w:jc w:val="center"/>
              <w:rPr>
                <w:rFonts w:ascii="Times New Roman" w:hAnsi="Times New Roman" w:eastAsia="黑体" w:cs="Times New Roman"/>
                <w:b/>
                <w:bCs/>
                <w:spacing w:val="-12"/>
                <w:kern w:val="2"/>
                <w:lang w:eastAsia="en-US" w:bidi="en-US"/>
              </w:rPr>
            </w:pPr>
            <w:r>
              <w:rPr>
                <w:rFonts w:ascii="Times New Roman" w:hAnsi="Times New Roman" w:eastAsia="黑体" w:cs="Times New Roman"/>
                <w:b/>
                <w:bCs/>
                <w:spacing w:val="-12"/>
                <w:kern w:val="2"/>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60" w:type="pct"/>
            <w:vAlign w:val="center"/>
          </w:tcPr>
          <w:p>
            <w:pPr>
              <w:adjustRightInd w:val="0"/>
              <w:snapToGrid w:val="0"/>
              <w:jc w:val="center"/>
              <w:rPr>
                <w:rFonts w:ascii="仿宋" w:hAnsi="仿宋" w:eastAsia="仿宋" w:cs="Times New Roman"/>
                <w:b/>
                <w:spacing w:val="-12"/>
                <w:lang w:eastAsia="en-US" w:bidi="en-US"/>
              </w:rPr>
            </w:pPr>
            <w:r>
              <w:rPr>
                <w:rFonts w:ascii="仿宋" w:hAnsi="仿宋" w:eastAsia="仿宋" w:cs="Times New Roman"/>
                <w:b/>
                <w:spacing w:val="-12"/>
                <w:lang w:eastAsia="en-US" w:bidi="en-US"/>
              </w:rPr>
              <w:t>教学理念</w:t>
            </w:r>
          </w:p>
        </w:tc>
        <w:tc>
          <w:tcPr>
            <w:tcW w:w="4140" w:type="pct"/>
            <w:vAlign w:val="center"/>
          </w:tcPr>
          <w:p>
            <w:pPr>
              <w:adjustRightInd w:val="0"/>
              <w:snapToGrid w:val="0"/>
              <w:rPr>
                <w:rFonts w:ascii="仿宋" w:hAnsi="仿宋" w:eastAsia="仿宋" w:cs="Times New Roman"/>
                <w:bCs/>
              </w:rPr>
            </w:pPr>
            <w:r>
              <w:rPr>
                <w:rFonts w:ascii="仿宋" w:hAnsi="仿宋" w:eastAsia="仿宋" w:cs="Times New Roman"/>
                <w:bCs/>
              </w:rPr>
              <w:t>体现“以学生发展为中心”教育理念，符合专业特色与课程要求；</w:t>
            </w:r>
            <w:bookmarkStart w:id="0" w:name="_Hlk152943176"/>
            <w:r>
              <w:rPr>
                <w:rFonts w:hint="eastAsia" w:ascii="仿宋" w:hAnsi="仿宋" w:eastAsia="仿宋" w:cs="Times New Roman"/>
                <w:bCs/>
              </w:rPr>
              <w:t>在深化产教融合中推进教育教学创新</w:t>
            </w:r>
            <w:r>
              <w:rPr>
                <w:rFonts w:ascii="仿宋" w:hAnsi="仿宋" w:eastAsia="仿宋" w:cs="Times New Roman"/>
                <w:bCs/>
              </w:rPr>
              <w:t>，提高人才培养的质量，</w:t>
            </w:r>
            <w:bookmarkEnd w:id="0"/>
            <w:r>
              <w:rPr>
                <w:rFonts w:ascii="仿宋" w:hAnsi="仿宋" w:eastAsia="仿宋" w:cs="Times New Roman"/>
                <w:bCs/>
              </w:rPr>
              <w:t>服务区域经济社会发展，促进教育链、人才链与产业链、创新链有机衔接。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0" w:type="pct"/>
            <w:vMerge w:val="restart"/>
            <w:vAlign w:val="center"/>
          </w:tcPr>
          <w:p>
            <w:pPr>
              <w:adjustRightInd w:val="0"/>
              <w:snapToGrid w:val="0"/>
              <w:jc w:val="center"/>
              <w:rPr>
                <w:rFonts w:ascii="仿宋" w:hAnsi="仿宋" w:eastAsia="仿宋" w:cs="Times New Roman"/>
                <w:b/>
                <w:spacing w:val="-12"/>
                <w:lang w:eastAsia="en-US" w:bidi="en-US"/>
              </w:rPr>
            </w:pPr>
            <w:r>
              <w:rPr>
                <w:rFonts w:ascii="仿宋" w:hAnsi="仿宋" w:eastAsia="仿宋" w:cs="Times New Roman"/>
                <w:b/>
                <w:spacing w:val="-12"/>
                <w:lang w:eastAsia="en-US" w:bidi="en-US"/>
              </w:rPr>
              <w:t>教学内容</w:t>
            </w:r>
          </w:p>
        </w:tc>
        <w:tc>
          <w:tcPr>
            <w:tcW w:w="4140" w:type="pct"/>
            <w:vAlign w:val="center"/>
          </w:tcPr>
          <w:p>
            <w:pPr>
              <w:adjustRightInd w:val="0"/>
              <w:snapToGrid w:val="0"/>
              <w:rPr>
                <w:rFonts w:ascii="仿宋" w:hAnsi="仿宋" w:eastAsia="仿宋" w:cs="Times New Roman"/>
                <w:bCs/>
              </w:rPr>
            </w:pPr>
            <w:r>
              <w:rPr>
                <w:rFonts w:ascii="仿宋" w:hAnsi="仿宋" w:eastAsia="仿宋" w:cs="Times New Roman"/>
                <w:bCs/>
              </w:rPr>
              <w:t>深挖课程思政元素，有机融入课程教学，实现“润物无声”的课程思政教育。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860" w:type="pct"/>
            <w:vMerge w:val="continue"/>
            <w:vAlign w:val="center"/>
          </w:tcPr>
          <w:p>
            <w:pPr>
              <w:adjustRightInd w:val="0"/>
              <w:snapToGrid w:val="0"/>
              <w:jc w:val="center"/>
              <w:rPr>
                <w:rFonts w:ascii="仿宋" w:hAnsi="仿宋" w:eastAsia="仿宋" w:cs="Times New Roman"/>
                <w:b/>
                <w:spacing w:val="-12"/>
                <w:lang w:bidi="en-US"/>
              </w:rPr>
            </w:pPr>
          </w:p>
        </w:tc>
        <w:tc>
          <w:tcPr>
            <w:tcW w:w="4140" w:type="pct"/>
            <w:vAlign w:val="center"/>
          </w:tcPr>
          <w:p>
            <w:pPr>
              <w:adjustRightInd w:val="0"/>
              <w:snapToGrid w:val="0"/>
              <w:rPr>
                <w:rFonts w:ascii="仿宋" w:hAnsi="仿宋" w:eastAsia="仿宋" w:cs="Times New Roman"/>
                <w:bCs/>
              </w:rPr>
            </w:pPr>
            <w:bookmarkStart w:id="1" w:name="_Hlk152943234"/>
            <w:r>
              <w:rPr>
                <w:rFonts w:ascii="仿宋" w:hAnsi="仿宋" w:eastAsia="仿宋" w:cs="Times New Roman"/>
                <w:bCs/>
              </w:rPr>
              <w:t>将</w:t>
            </w:r>
            <w:r>
              <w:rPr>
                <w:rFonts w:hint="eastAsia" w:ascii="仿宋" w:hAnsi="仿宋" w:eastAsia="仿宋" w:cs="Times New Roman"/>
                <w:bCs/>
              </w:rPr>
              <w:t>教学内容与行业企业、实务部门等实际工作和需求以及国家产业政策、国内外产业发展的基础走向和价值导向紧密融合</w:t>
            </w:r>
            <w:r>
              <w:rPr>
                <w:rFonts w:ascii="仿宋" w:hAnsi="仿宋" w:eastAsia="仿宋" w:cs="Times New Roman"/>
                <w:bCs/>
              </w:rPr>
              <w:t>，将生产现场转化为教学课堂，将</w:t>
            </w:r>
            <w:r>
              <w:rPr>
                <w:rFonts w:hint="eastAsia" w:ascii="仿宋" w:hAnsi="仿宋" w:eastAsia="仿宋" w:cs="Times New Roman"/>
                <w:bCs/>
              </w:rPr>
              <w:t>政产学研</w:t>
            </w:r>
            <w:r>
              <w:rPr>
                <w:rFonts w:ascii="仿宋" w:hAnsi="仿宋" w:eastAsia="仿宋" w:cs="Times New Roman"/>
                <w:bCs/>
              </w:rPr>
              <w:t>的</w:t>
            </w:r>
            <w:r>
              <w:rPr>
                <w:rFonts w:hint="eastAsia" w:ascii="仿宋" w:hAnsi="仿宋" w:eastAsia="仿宋" w:cs="Times New Roman"/>
                <w:bCs/>
              </w:rPr>
              <w:t>创新理念、机制体制和重大科研</w:t>
            </w:r>
            <w:r>
              <w:rPr>
                <w:rFonts w:ascii="仿宋" w:hAnsi="仿宋" w:eastAsia="仿宋" w:cs="Times New Roman"/>
                <w:bCs/>
              </w:rPr>
              <w:t>成果转化为课程教学案例，体现高阶性、创新性与挑战度。</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60" w:type="pct"/>
            <w:vMerge w:val="continue"/>
            <w:vAlign w:val="center"/>
          </w:tcPr>
          <w:p>
            <w:pPr>
              <w:adjustRightInd w:val="0"/>
              <w:snapToGrid w:val="0"/>
              <w:jc w:val="center"/>
              <w:rPr>
                <w:rFonts w:ascii="仿宋" w:hAnsi="仿宋" w:eastAsia="仿宋" w:cs="Times New Roman"/>
                <w:b/>
                <w:spacing w:val="-12"/>
                <w:lang w:bidi="en-US"/>
              </w:rPr>
            </w:pPr>
          </w:p>
        </w:tc>
        <w:tc>
          <w:tcPr>
            <w:tcW w:w="4140" w:type="pct"/>
            <w:vAlign w:val="center"/>
          </w:tcPr>
          <w:p>
            <w:pPr>
              <w:adjustRightInd w:val="0"/>
              <w:snapToGrid w:val="0"/>
              <w:rPr>
                <w:rFonts w:ascii="仿宋" w:hAnsi="仿宋" w:eastAsia="仿宋" w:cs="Times New Roman"/>
                <w:bCs/>
              </w:rPr>
            </w:pPr>
            <w:r>
              <w:rPr>
                <w:rFonts w:hint="eastAsia" w:ascii="仿宋" w:hAnsi="仿宋" w:eastAsia="仿宋" w:cs="Times New Roman"/>
                <w:bCs/>
              </w:rPr>
              <w:t>教学资源储备丰富，行业企业深度参与课程建设和教材编写，包括但不局限于</w:t>
            </w:r>
            <w:r>
              <w:rPr>
                <w:rFonts w:ascii="仿宋" w:hAnsi="仿宋" w:eastAsia="仿宋" w:cs="Times New Roman"/>
                <w:bCs/>
              </w:rPr>
              <w:t>共建校企联合实验室、共建实习实践基地、联合开发课程、共同编写教材等</w:t>
            </w:r>
            <w:r>
              <w:rPr>
                <w:rFonts w:hint="eastAsia" w:ascii="仿宋" w:hAnsi="仿宋" w:eastAsia="仿宋" w:cs="Times New Roman"/>
                <w:bCs/>
              </w:rPr>
              <w:t>，注重将行业企业发展最新前沿成果融入教学内容</w:t>
            </w:r>
            <w:r>
              <w:rPr>
                <w:rFonts w:ascii="仿宋" w:hAnsi="仿宋" w:eastAsia="仿宋" w:cs="Times New Roman"/>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0" w:type="pct"/>
            <w:vMerge w:val="restart"/>
            <w:vAlign w:val="center"/>
          </w:tcPr>
          <w:p>
            <w:pPr>
              <w:adjustRightInd w:val="0"/>
              <w:snapToGrid w:val="0"/>
              <w:jc w:val="center"/>
              <w:rPr>
                <w:rFonts w:ascii="仿宋" w:hAnsi="仿宋" w:eastAsia="仿宋" w:cs="Times New Roman"/>
                <w:b/>
                <w:spacing w:val="-12"/>
                <w:lang w:bidi="en-US"/>
              </w:rPr>
            </w:pPr>
            <w:r>
              <w:rPr>
                <w:rFonts w:ascii="仿宋" w:hAnsi="仿宋" w:eastAsia="仿宋" w:cs="Times New Roman"/>
                <w:b/>
                <w:spacing w:val="-12"/>
                <w:lang w:bidi="en-US"/>
              </w:rPr>
              <w:t>教学过程</w:t>
            </w:r>
          </w:p>
        </w:tc>
        <w:tc>
          <w:tcPr>
            <w:tcW w:w="4140" w:type="pct"/>
            <w:vAlign w:val="center"/>
          </w:tcPr>
          <w:p>
            <w:pPr>
              <w:adjustRightInd w:val="0"/>
              <w:snapToGrid w:val="0"/>
              <w:rPr>
                <w:rFonts w:ascii="仿宋" w:hAnsi="仿宋" w:eastAsia="仿宋" w:cs="Times New Roman"/>
                <w:bCs/>
              </w:rPr>
            </w:pPr>
            <w:r>
              <w:rPr>
                <w:rFonts w:ascii="仿宋" w:hAnsi="仿宋" w:eastAsia="仿宋" w:cs="Times New Roman"/>
                <w:bCs/>
              </w:rPr>
              <w:t>体现教师主导、学生主体、行业企业参与</w:t>
            </w:r>
            <w:r>
              <w:rPr>
                <w:rFonts w:ascii="仿宋" w:hAnsi="仿宋" w:eastAsia="仿宋" w:cs="Times New Roman"/>
                <w:bCs/>
                <w:lang w:bidi="en-US"/>
              </w:rPr>
              <w:t>，聘请行业企业优秀专业技术人才、管理人才和高技能人才等参与教学。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860" w:type="pct"/>
            <w:vMerge w:val="continue"/>
            <w:vAlign w:val="center"/>
          </w:tcPr>
          <w:p>
            <w:pPr>
              <w:adjustRightInd w:val="0"/>
              <w:snapToGrid w:val="0"/>
              <w:jc w:val="center"/>
              <w:rPr>
                <w:rFonts w:ascii="仿宋" w:hAnsi="仿宋" w:eastAsia="仿宋" w:cs="Times New Roman"/>
                <w:b/>
                <w:spacing w:val="-12"/>
                <w:lang w:bidi="en-US"/>
              </w:rPr>
            </w:pPr>
          </w:p>
        </w:tc>
        <w:tc>
          <w:tcPr>
            <w:tcW w:w="4140" w:type="pct"/>
            <w:vAlign w:val="center"/>
          </w:tcPr>
          <w:p>
            <w:pPr>
              <w:adjustRightInd w:val="0"/>
              <w:snapToGrid w:val="0"/>
              <w:rPr>
                <w:rFonts w:ascii="仿宋" w:hAnsi="仿宋" w:eastAsia="仿宋" w:cs="Times New Roman"/>
                <w:bCs/>
              </w:rPr>
            </w:pPr>
            <w:bookmarkStart w:id="2" w:name="_Hlk152943529"/>
            <w:r>
              <w:rPr>
                <w:rFonts w:ascii="仿宋" w:hAnsi="仿宋" w:eastAsia="仿宋" w:cs="Times New Roman"/>
                <w:bCs/>
              </w:rPr>
              <w:t>以解决</w:t>
            </w:r>
            <w:r>
              <w:rPr>
                <w:rFonts w:hint="eastAsia" w:ascii="仿宋" w:hAnsi="仿宋" w:eastAsia="仿宋" w:cs="Times New Roman"/>
                <w:bCs/>
              </w:rPr>
              <w:t>社会和</w:t>
            </w:r>
            <w:r>
              <w:rPr>
                <w:rFonts w:ascii="仿宋" w:hAnsi="仿宋" w:eastAsia="仿宋" w:cs="Times New Roman"/>
                <w:bCs/>
              </w:rPr>
              <w:t>行业企业实际问题为导向，</w:t>
            </w:r>
            <w:bookmarkEnd w:id="2"/>
            <w:r>
              <w:rPr>
                <w:rFonts w:ascii="仿宋" w:hAnsi="仿宋" w:eastAsia="仿宋" w:cs="Times New Roman"/>
                <w:bCs/>
              </w:rPr>
              <w:t>充分利用产教融合校企合作平台，采用项目式、任务式等方式方法，</w:t>
            </w:r>
            <w:r>
              <w:rPr>
                <w:rFonts w:hint="eastAsia" w:ascii="仿宋" w:hAnsi="仿宋" w:eastAsia="仿宋" w:cs="Times New Roman"/>
                <w:bCs/>
              </w:rPr>
              <w:t>将专业知识与生产过程和行业标准等相对接，</w:t>
            </w:r>
            <w:r>
              <w:rPr>
                <w:rFonts w:ascii="仿宋" w:hAnsi="仿宋" w:eastAsia="仿宋" w:cs="Times New Roman"/>
                <w:bCs/>
              </w:rPr>
              <w:t>启发学生思考</w:t>
            </w:r>
            <w:bookmarkStart w:id="3" w:name="_Hlk152943564"/>
            <w:r>
              <w:rPr>
                <w:rFonts w:hint="eastAsia" w:ascii="仿宋" w:hAnsi="仿宋" w:eastAsia="仿宋" w:cs="Times New Roman"/>
                <w:bCs/>
              </w:rPr>
              <w:t>，</w:t>
            </w:r>
            <w:r>
              <w:rPr>
                <w:rFonts w:ascii="仿宋" w:hAnsi="仿宋" w:eastAsia="仿宋" w:cs="Times New Roman"/>
                <w:bCs/>
              </w:rPr>
              <w:t>培养学生在真实生产环境中解决复杂问题的能力</w:t>
            </w:r>
            <w:bookmarkEnd w:id="3"/>
            <w:r>
              <w:rPr>
                <w:rFonts w:hint="eastAsia" w:ascii="仿宋" w:hAnsi="仿宋" w:eastAsia="仿宋" w:cs="Times New Roman"/>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0" w:type="pct"/>
            <w:vMerge w:val="continue"/>
            <w:vAlign w:val="center"/>
          </w:tcPr>
          <w:p>
            <w:pPr>
              <w:adjustRightInd w:val="0"/>
              <w:snapToGrid w:val="0"/>
              <w:jc w:val="center"/>
              <w:rPr>
                <w:rFonts w:ascii="仿宋" w:hAnsi="仿宋" w:eastAsia="仿宋" w:cs="Times New Roman"/>
                <w:b/>
                <w:spacing w:val="-12"/>
                <w:lang w:bidi="en-US"/>
              </w:rPr>
            </w:pPr>
          </w:p>
        </w:tc>
        <w:tc>
          <w:tcPr>
            <w:tcW w:w="4140" w:type="pct"/>
            <w:vAlign w:val="center"/>
          </w:tcPr>
          <w:p>
            <w:pPr>
              <w:adjustRightInd w:val="0"/>
              <w:snapToGrid w:val="0"/>
              <w:rPr>
                <w:rFonts w:ascii="仿宋" w:hAnsi="仿宋" w:eastAsia="仿宋" w:cs="Times New Roman"/>
                <w:bCs/>
              </w:rPr>
            </w:pPr>
            <w:r>
              <w:rPr>
                <w:rFonts w:ascii="仿宋" w:hAnsi="仿宋" w:eastAsia="仿宋" w:cs="Times New Roman"/>
                <w:bCs/>
              </w:rPr>
              <w:t>产学合作开发数字资源，</w:t>
            </w:r>
            <w:r>
              <w:rPr>
                <w:rFonts w:hint="eastAsia" w:ascii="仿宋" w:hAnsi="仿宋" w:eastAsia="仿宋" w:cs="Times New Roman"/>
                <w:bCs/>
              </w:rPr>
              <w:t>将数字产业化和产业数字化作为基本教学线索，</w:t>
            </w:r>
            <w:r>
              <w:rPr>
                <w:rFonts w:ascii="仿宋" w:hAnsi="仿宋" w:eastAsia="仿宋" w:cs="Times New Roman"/>
                <w:bCs/>
              </w:rPr>
              <w:t xml:space="preserve">深化数字化技术在教学场景和评价中的应用。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60" w:type="pct"/>
            <w:vMerge w:val="restart"/>
            <w:vAlign w:val="center"/>
          </w:tcPr>
          <w:p>
            <w:pPr>
              <w:adjustRightInd w:val="0"/>
              <w:snapToGrid w:val="0"/>
              <w:jc w:val="center"/>
              <w:rPr>
                <w:rFonts w:ascii="仿宋" w:hAnsi="仿宋" w:eastAsia="仿宋" w:cs="Times New Roman"/>
                <w:b/>
                <w:spacing w:val="-12"/>
                <w:lang w:eastAsia="en-US" w:bidi="en-US"/>
              </w:rPr>
            </w:pPr>
            <w:r>
              <w:rPr>
                <w:rFonts w:ascii="仿宋" w:hAnsi="仿宋" w:eastAsia="仿宋" w:cs="Times New Roman"/>
                <w:b/>
                <w:spacing w:val="-12"/>
                <w:lang w:eastAsia="en-US" w:bidi="en-US"/>
              </w:rPr>
              <w:t>教学效果</w:t>
            </w:r>
          </w:p>
        </w:tc>
        <w:tc>
          <w:tcPr>
            <w:tcW w:w="4140" w:type="pct"/>
            <w:vAlign w:val="center"/>
          </w:tcPr>
          <w:p>
            <w:pPr>
              <w:adjustRightInd w:val="0"/>
              <w:snapToGrid w:val="0"/>
              <w:rPr>
                <w:rFonts w:ascii="仿宋" w:hAnsi="仿宋" w:eastAsia="仿宋" w:cs="Times New Roman"/>
                <w:bCs/>
              </w:rPr>
            </w:pPr>
            <w:r>
              <w:rPr>
                <w:rFonts w:ascii="仿宋" w:hAnsi="仿宋" w:eastAsia="仿宋" w:cs="Times New Roman"/>
                <w:bCs/>
              </w:rPr>
              <w:t>课程讲授富有吸引力，互动气氛融洽，学生思维活跃，能够了解</w:t>
            </w:r>
            <w:r>
              <w:rPr>
                <w:rFonts w:hint="eastAsia" w:ascii="仿宋" w:hAnsi="仿宋" w:eastAsia="仿宋" w:cs="Times New Roman"/>
                <w:bCs/>
              </w:rPr>
              <w:t>领域和</w:t>
            </w:r>
            <w:r>
              <w:rPr>
                <w:rFonts w:ascii="仿宋" w:hAnsi="仿宋" w:eastAsia="仿宋" w:cs="Times New Roman"/>
                <w:bCs/>
              </w:rPr>
              <w:t>行业的最新动态和实际情况，创新实践能力增强，学生素质、知识和能力全面提高。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60" w:type="pct"/>
            <w:vMerge w:val="continue"/>
            <w:vAlign w:val="center"/>
          </w:tcPr>
          <w:p>
            <w:pPr>
              <w:adjustRightInd w:val="0"/>
              <w:snapToGrid w:val="0"/>
              <w:jc w:val="center"/>
              <w:rPr>
                <w:rFonts w:ascii="仿宋" w:hAnsi="仿宋" w:eastAsia="仿宋" w:cs="Times New Roman"/>
                <w:b/>
                <w:spacing w:val="-12"/>
                <w:lang w:bidi="en-US"/>
              </w:rPr>
            </w:pPr>
          </w:p>
        </w:tc>
        <w:tc>
          <w:tcPr>
            <w:tcW w:w="4140" w:type="pct"/>
            <w:vAlign w:val="center"/>
          </w:tcPr>
          <w:p>
            <w:pPr>
              <w:adjustRightInd w:val="0"/>
              <w:snapToGrid w:val="0"/>
              <w:rPr>
                <w:rFonts w:ascii="仿宋" w:hAnsi="仿宋" w:eastAsia="仿宋" w:cs="Times New Roman"/>
                <w:bCs/>
              </w:rPr>
            </w:pPr>
            <w:r>
              <w:rPr>
                <w:rFonts w:ascii="仿宋" w:hAnsi="仿宋" w:eastAsia="仿宋" w:cs="Times New Roman"/>
                <w:bCs/>
              </w:rPr>
              <w:t>形成</w:t>
            </w:r>
            <w:r>
              <w:rPr>
                <w:rFonts w:hint="eastAsia" w:ascii="仿宋" w:hAnsi="仿宋" w:eastAsia="仿宋" w:cs="Times New Roman"/>
                <w:bCs/>
              </w:rPr>
              <w:t>服务国家战略、</w:t>
            </w:r>
            <w:r>
              <w:rPr>
                <w:rFonts w:ascii="仿宋" w:hAnsi="仿宋" w:eastAsia="仿宋" w:cs="Times New Roman"/>
                <w:bCs/>
              </w:rPr>
              <w:t>突出专业特色、符合学生特点和</w:t>
            </w:r>
            <w:r>
              <w:rPr>
                <w:rFonts w:hint="eastAsia" w:ascii="仿宋" w:hAnsi="仿宋" w:eastAsia="仿宋" w:cs="Times New Roman"/>
                <w:bCs/>
              </w:rPr>
              <w:t>推动产业高质量发展的</w:t>
            </w:r>
            <w:r>
              <w:rPr>
                <w:rFonts w:ascii="仿宋" w:hAnsi="仿宋" w:eastAsia="仿宋" w:cs="Times New Roman"/>
                <w:bCs/>
              </w:rPr>
              <w:t>合作教学模式，</w:t>
            </w:r>
            <w:r>
              <w:rPr>
                <w:rFonts w:hint="eastAsia" w:ascii="仿宋" w:hAnsi="仿宋" w:eastAsia="仿宋" w:cs="Times New Roman"/>
                <w:bCs/>
              </w:rPr>
              <w:t>形成可持续发展的机制体制和基本经验，</w:t>
            </w:r>
            <w:r>
              <w:rPr>
                <w:rFonts w:ascii="仿宋" w:hAnsi="仿宋" w:eastAsia="仿宋" w:cs="Times New Roman"/>
                <w:bCs/>
              </w:rPr>
              <w:t>具有较大借鉴和推广价值。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0" w:type="pct"/>
            <w:vAlign w:val="center"/>
          </w:tcPr>
          <w:p>
            <w:pPr>
              <w:adjustRightInd w:val="0"/>
              <w:snapToGrid w:val="0"/>
              <w:jc w:val="center"/>
              <w:rPr>
                <w:rFonts w:ascii="仿宋" w:hAnsi="仿宋" w:eastAsia="仿宋" w:cs="Times New Roman"/>
                <w:b/>
                <w:spacing w:val="-12"/>
                <w:lang w:eastAsia="en-US" w:bidi="en-US"/>
              </w:rPr>
            </w:pPr>
            <w:r>
              <w:rPr>
                <w:rFonts w:ascii="仿宋" w:hAnsi="仿宋" w:eastAsia="仿宋" w:cs="Times New Roman"/>
                <w:b/>
                <w:spacing w:val="-12"/>
                <w:lang w:eastAsia="en-US" w:bidi="en-US"/>
              </w:rPr>
              <w:t>视频质量</w:t>
            </w:r>
          </w:p>
        </w:tc>
        <w:tc>
          <w:tcPr>
            <w:tcW w:w="4140" w:type="pct"/>
            <w:vAlign w:val="center"/>
          </w:tcPr>
          <w:p>
            <w:pPr>
              <w:adjustRightInd w:val="0"/>
              <w:snapToGrid w:val="0"/>
              <w:rPr>
                <w:rFonts w:ascii="仿宋" w:hAnsi="仿宋" w:eastAsia="仿宋" w:cs="Times New Roman"/>
                <w:bCs/>
              </w:rPr>
            </w:pPr>
            <w:r>
              <w:rPr>
                <w:rFonts w:ascii="仿宋" w:hAnsi="仿宋" w:eastAsia="仿宋" w:cs="Times New Roman"/>
                <w:bCs/>
              </w:rPr>
              <w:t>教学视频清晰、流畅，能客观、真实反映师生的教学过程常态。</w:t>
            </w:r>
          </w:p>
        </w:tc>
      </w:tr>
    </w:tbl>
    <w:p>
      <w:pPr>
        <w:spacing w:before="240" w:beforeLines="100" w:after="240" w:afterLines="100"/>
        <w:rPr>
          <w:rFonts w:ascii="Times New Roman" w:hAnsi="Times New Roman" w:eastAsia="黑体" w:cs="Times New Roman"/>
          <w:bCs/>
          <w:color w:val="000000"/>
          <w:sz w:val="28"/>
          <w:szCs w:val="28"/>
          <w:lang w:bidi="en-US"/>
        </w:rPr>
      </w:pPr>
    </w:p>
    <w:p>
      <w:pPr>
        <w:spacing w:before="240" w:beforeLines="100" w:after="240" w:afterLines="100"/>
        <w:rPr>
          <w:rFonts w:ascii="Times New Roman" w:hAnsi="Times New Roman" w:eastAsia="黑体" w:cs="Times New Roman"/>
          <w:bCs/>
          <w:color w:val="000000"/>
          <w:sz w:val="28"/>
          <w:szCs w:val="28"/>
          <w:lang w:bidi="en-US"/>
        </w:rPr>
      </w:pPr>
      <w:r>
        <w:rPr>
          <w:rFonts w:ascii="Times New Roman" w:hAnsi="Times New Roman" w:eastAsia="黑体" w:cs="Times New Roman"/>
          <w:bCs/>
          <w:color w:val="000000"/>
          <w:sz w:val="28"/>
          <w:szCs w:val="28"/>
          <w:lang w:bidi="en-US"/>
        </w:rPr>
        <w:t>二 、创新成果报告（20分）</w:t>
      </w:r>
    </w:p>
    <w:tbl>
      <w:tblPr>
        <w:tblStyle w:val="3"/>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7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0" w:type="pct"/>
            <w:vAlign w:val="center"/>
          </w:tcPr>
          <w:p>
            <w:pPr>
              <w:widowControl w:val="0"/>
              <w:jc w:val="center"/>
              <w:rPr>
                <w:rFonts w:ascii="Times New Roman" w:hAnsi="Times New Roman" w:eastAsia="仿宋_GB2312" w:cs="Times New Roman"/>
                <w:b/>
                <w:bCs/>
                <w:spacing w:val="-12"/>
                <w:lang w:eastAsia="en-US" w:bidi="en-US"/>
              </w:rPr>
            </w:pPr>
            <w:r>
              <w:rPr>
                <w:rFonts w:ascii="Times New Roman" w:hAnsi="Times New Roman" w:eastAsia="黑体" w:cs="Times New Roman"/>
                <w:b/>
                <w:bCs/>
                <w:spacing w:val="-12"/>
                <w:kern w:val="2"/>
                <w:lang w:eastAsia="en-US" w:bidi="en-US"/>
              </w:rPr>
              <w:t>评价维度</w:t>
            </w:r>
          </w:p>
        </w:tc>
        <w:tc>
          <w:tcPr>
            <w:tcW w:w="4170" w:type="pct"/>
            <w:vAlign w:val="center"/>
          </w:tcPr>
          <w:p>
            <w:pPr>
              <w:widowControl w:val="0"/>
              <w:jc w:val="center"/>
              <w:rPr>
                <w:rFonts w:ascii="Times New Roman" w:hAnsi="Times New Roman" w:eastAsia="仿宋_GB2312" w:cs="Times New Roman"/>
                <w:b/>
                <w:bCs/>
                <w:spacing w:val="-12"/>
                <w:lang w:eastAsia="en-US" w:bidi="en-US"/>
              </w:rPr>
            </w:pPr>
            <w:r>
              <w:rPr>
                <w:rFonts w:ascii="Times New Roman" w:hAnsi="Times New Roman" w:eastAsia="黑体" w:cs="Times New Roman"/>
                <w:b/>
                <w:bCs/>
                <w:spacing w:val="-12"/>
                <w:kern w:val="2"/>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0" w:type="pct"/>
            <w:vAlign w:val="center"/>
          </w:tcPr>
          <w:p>
            <w:pPr>
              <w:adjustRightInd w:val="0"/>
              <w:snapToGrid w:val="0"/>
              <w:jc w:val="center"/>
              <w:rPr>
                <w:rFonts w:ascii="仿宋" w:hAnsi="仿宋" w:eastAsia="仿宋" w:cs="Times New Roman"/>
                <w:b/>
                <w:bCs/>
                <w:spacing w:val="-12"/>
                <w:lang w:eastAsia="en-US" w:bidi="en-US"/>
              </w:rPr>
            </w:pPr>
            <w:r>
              <w:rPr>
                <w:rFonts w:ascii="仿宋" w:hAnsi="仿宋" w:eastAsia="仿宋" w:cs="Times New Roman"/>
                <w:b/>
                <w:bCs/>
                <w:spacing w:val="-12"/>
                <w:lang w:eastAsia="en-US" w:bidi="en-US"/>
              </w:rPr>
              <w:t>问题导向</w:t>
            </w:r>
          </w:p>
        </w:tc>
        <w:tc>
          <w:tcPr>
            <w:tcW w:w="4170" w:type="pct"/>
            <w:vAlign w:val="center"/>
          </w:tcPr>
          <w:p>
            <w:pPr>
              <w:adjustRightInd w:val="0"/>
              <w:snapToGrid w:val="0"/>
              <w:rPr>
                <w:rFonts w:ascii="仿宋" w:hAnsi="仿宋" w:eastAsia="仿宋" w:cs="Times New Roman"/>
                <w:spacing w:val="-12"/>
                <w:lang w:bidi="en-US"/>
              </w:rPr>
            </w:pPr>
            <w:r>
              <w:rPr>
                <w:rFonts w:hint="eastAsia" w:ascii="仿宋" w:hAnsi="仿宋" w:eastAsia="仿宋" w:cs="Times New Roman"/>
                <w:spacing w:val="-12"/>
                <w:lang w:bidi="en-US"/>
              </w:rPr>
              <w:t>人才培养规格与哲学社会科学和自然科学领域的各类实践需求相符，</w:t>
            </w:r>
            <w:r>
              <w:rPr>
                <w:rFonts w:ascii="仿宋" w:hAnsi="仿宋" w:eastAsia="仿宋" w:cs="Times New Roman"/>
                <w:spacing w:val="-12"/>
                <w:lang w:bidi="en-US"/>
              </w:rPr>
              <w:t>以培养高素质创新人才为导向，立足专业和学科特色，发现和解决</w:t>
            </w:r>
            <w:r>
              <w:rPr>
                <w:rFonts w:hint="eastAsia" w:ascii="仿宋" w:hAnsi="仿宋" w:eastAsia="仿宋" w:cs="Times New Roman"/>
                <w:spacing w:val="-12"/>
                <w:lang w:bidi="en-US"/>
              </w:rPr>
              <w:t>产教融合课程教学面临的问题和挑战。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0" w:type="pct"/>
            <w:vAlign w:val="center"/>
          </w:tcPr>
          <w:p>
            <w:pPr>
              <w:adjustRightInd w:val="0"/>
              <w:snapToGrid w:val="0"/>
              <w:jc w:val="center"/>
              <w:rPr>
                <w:rFonts w:ascii="仿宋" w:hAnsi="仿宋" w:eastAsia="仿宋" w:cs="Times New Roman"/>
                <w:b/>
                <w:bCs/>
                <w:spacing w:val="-12"/>
                <w:lang w:eastAsia="en-US" w:bidi="en-US"/>
              </w:rPr>
            </w:pPr>
            <w:r>
              <w:rPr>
                <w:rFonts w:ascii="仿宋" w:hAnsi="仿宋" w:eastAsia="仿宋" w:cs="Times New Roman"/>
                <w:b/>
                <w:bCs/>
                <w:spacing w:val="-12"/>
                <w:lang w:eastAsia="en-US" w:bidi="en-US"/>
              </w:rPr>
              <w:t>创新特色</w:t>
            </w:r>
          </w:p>
        </w:tc>
        <w:tc>
          <w:tcPr>
            <w:tcW w:w="4170" w:type="pct"/>
            <w:vAlign w:val="center"/>
          </w:tcPr>
          <w:p>
            <w:pPr>
              <w:adjustRightInd w:val="0"/>
              <w:snapToGrid w:val="0"/>
              <w:rPr>
                <w:rFonts w:ascii="仿宋" w:hAnsi="仿宋" w:eastAsia="仿宋" w:cs="Times New Roman"/>
                <w:spacing w:val="-12"/>
                <w:lang w:bidi="en-US"/>
              </w:rPr>
            </w:pPr>
            <w:r>
              <w:rPr>
                <w:rFonts w:ascii="仿宋" w:hAnsi="仿宋" w:eastAsia="仿宋" w:cs="Times New Roman"/>
                <w:spacing w:val="-12"/>
                <w:lang w:bidi="en-US"/>
              </w:rPr>
              <w:t>通过产学研深度合作，在教学目标、内容、方法、评价和资源开发等方面共同完成课程改革，且针对性、创新性、可操作性强。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0" w:type="pct"/>
            <w:vAlign w:val="center"/>
          </w:tcPr>
          <w:p>
            <w:pPr>
              <w:adjustRightInd w:val="0"/>
              <w:snapToGrid w:val="0"/>
              <w:jc w:val="center"/>
              <w:rPr>
                <w:rFonts w:ascii="仿宋" w:hAnsi="仿宋" w:eastAsia="仿宋" w:cs="Times New Roman"/>
                <w:b/>
                <w:bCs/>
                <w:spacing w:val="-12"/>
                <w:lang w:bidi="en-US"/>
              </w:rPr>
            </w:pPr>
            <w:r>
              <w:rPr>
                <w:rFonts w:ascii="仿宋" w:hAnsi="仿宋" w:eastAsia="仿宋" w:cs="Times New Roman"/>
                <w:b/>
                <w:bCs/>
                <w:spacing w:val="-12"/>
                <w:lang w:bidi="en-US"/>
              </w:rPr>
              <w:t>创新效果</w:t>
            </w:r>
          </w:p>
        </w:tc>
        <w:tc>
          <w:tcPr>
            <w:tcW w:w="4170" w:type="pct"/>
            <w:vAlign w:val="center"/>
          </w:tcPr>
          <w:p>
            <w:pPr>
              <w:adjustRightInd w:val="0"/>
              <w:snapToGrid w:val="0"/>
              <w:rPr>
                <w:rFonts w:ascii="仿宋" w:hAnsi="仿宋" w:eastAsia="仿宋" w:cs="Times New Roman"/>
                <w:spacing w:val="-12"/>
                <w:lang w:bidi="en-US"/>
              </w:rPr>
            </w:pPr>
            <w:r>
              <w:rPr>
                <w:rFonts w:ascii="仿宋" w:hAnsi="仿宋" w:eastAsia="仿宋" w:cs="Times New Roman"/>
                <w:spacing w:val="-12"/>
                <w:lang w:bidi="en-US"/>
              </w:rPr>
              <w:t>课程教学方案设计科学、方法有效、评价多元，数字化转型较好，</w:t>
            </w:r>
            <w:r>
              <w:rPr>
                <w:rFonts w:hint="eastAsia" w:ascii="仿宋" w:hAnsi="仿宋" w:eastAsia="仿宋" w:cs="Times New Roman"/>
                <w:spacing w:val="-12"/>
                <w:lang w:bidi="en-US"/>
              </w:rPr>
              <w:t>学生服务国家战略意识、专业知识素养、解决产业发展问题能力同步提高，</w:t>
            </w:r>
            <w:r>
              <w:rPr>
                <w:rFonts w:ascii="仿宋" w:hAnsi="仿宋" w:eastAsia="仿宋" w:cs="Times New Roman"/>
                <w:spacing w:val="-12"/>
                <w:lang w:bidi="en-US"/>
              </w:rPr>
              <w:t>解决人才培养供给侧和</w:t>
            </w:r>
            <w:r>
              <w:rPr>
                <w:rFonts w:hint="eastAsia" w:ascii="仿宋" w:hAnsi="仿宋" w:eastAsia="仿宋" w:cs="Times New Roman"/>
                <w:spacing w:val="-12"/>
                <w:lang w:bidi="en-US"/>
              </w:rPr>
              <w:t>产业</w:t>
            </w:r>
            <w:r>
              <w:rPr>
                <w:rFonts w:ascii="仿宋" w:hAnsi="仿宋" w:eastAsia="仿宋" w:cs="Times New Roman"/>
                <w:spacing w:val="-12"/>
                <w:lang w:bidi="en-US"/>
              </w:rPr>
              <w:t>需求侧的结构性矛盾。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0" w:type="pct"/>
            <w:vAlign w:val="center"/>
          </w:tcPr>
          <w:p>
            <w:pPr>
              <w:adjustRightInd w:val="0"/>
              <w:snapToGrid w:val="0"/>
              <w:jc w:val="center"/>
              <w:rPr>
                <w:rFonts w:ascii="仿宋" w:hAnsi="仿宋" w:eastAsia="仿宋" w:cs="Times New Roman"/>
                <w:b/>
                <w:bCs/>
                <w:spacing w:val="-12"/>
                <w:lang w:eastAsia="en-US" w:bidi="en-US"/>
              </w:rPr>
            </w:pPr>
            <w:r>
              <w:rPr>
                <w:rFonts w:ascii="仿宋" w:hAnsi="仿宋" w:eastAsia="仿宋" w:cs="Times New Roman"/>
                <w:b/>
                <w:bCs/>
                <w:spacing w:val="-12"/>
                <w:lang w:eastAsia="en-US" w:bidi="en-US"/>
              </w:rPr>
              <w:t>成果辐射</w:t>
            </w:r>
          </w:p>
        </w:tc>
        <w:tc>
          <w:tcPr>
            <w:tcW w:w="4170" w:type="pct"/>
            <w:vAlign w:val="center"/>
          </w:tcPr>
          <w:p>
            <w:pPr>
              <w:adjustRightInd w:val="0"/>
              <w:snapToGrid w:val="0"/>
              <w:rPr>
                <w:rFonts w:ascii="仿宋" w:hAnsi="仿宋" w:eastAsia="仿宋" w:cs="Times New Roman"/>
                <w:spacing w:val="-12"/>
                <w:lang w:bidi="en-US"/>
              </w:rPr>
            </w:pPr>
            <w:r>
              <w:rPr>
                <w:rFonts w:ascii="仿宋" w:hAnsi="仿宋" w:eastAsia="仿宋" w:cs="Times New Roman"/>
                <w:spacing w:val="-12"/>
                <w:lang w:bidi="en-US"/>
              </w:rPr>
              <w:t>能够对产教融合课程教学的合作模式和成果转化开展基于证据的有效分析与总结，形成具有较强辐射推广价值的教学新方法、新模式。</w:t>
            </w:r>
          </w:p>
        </w:tc>
      </w:tr>
    </w:tbl>
    <w:p>
      <w:pPr>
        <w:spacing w:before="240" w:beforeLines="100" w:after="240" w:afterLines="100"/>
        <w:rPr>
          <w:rFonts w:ascii="Times New Roman" w:hAnsi="Times New Roman" w:eastAsia="黑体" w:cs="Times New Roman"/>
          <w:bCs/>
          <w:color w:val="000000"/>
          <w:sz w:val="28"/>
          <w:szCs w:val="28"/>
          <w:lang w:bidi="en-US"/>
        </w:rPr>
      </w:pPr>
      <w:r>
        <w:rPr>
          <w:rFonts w:ascii="Times New Roman" w:hAnsi="Times New Roman" w:eastAsia="黑体" w:cs="Times New Roman"/>
          <w:bCs/>
          <w:color w:val="000000"/>
          <w:sz w:val="28"/>
          <w:szCs w:val="28"/>
          <w:lang w:bidi="en-US"/>
        </w:rPr>
        <w:t>三 、教学设计创新汇报（40分）</w:t>
      </w:r>
    </w:p>
    <w:tbl>
      <w:tblPr>
        <w:tblStyle w:val="3"/>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7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0" w:type="pct"/>
            <w:vAlign w:val="center"/>
          </w:tcPr>
          <w:p>
            <w:pPr>
              <w:widowControl w:val="0"/>
              <w:jc w:val="center"/>
              <w:rPr>
                <w:rFonts w:ascii="Times New Roman" w:hAnsi="Times New Roman" w:eastAsia="仿宋_GB2312" w:cs="Times New Roman"/>
                <w:b/>
                <w:bCs/>
                <w:spacing w:val="-12"/>
                <w:lang w:eastAsia="en-US" w:bidi="en-US"/>
              </w:rPr>
            </w:pPr>
            <w:r>
              <w:rPr>
                <w:rFonts w:ascii="Times New Roman" w:hAnsi="Times New Roman" w:eastAsia="黑体" w:cs="Times New Roman"/>
                <w:b/>
                <w:bCs/>
                <w:spacing w:val="-12"/>
                <w:kern w:val="2"/>
                <w:lang w:eastAsia="en-US" w:bidi="en-US"/>
              </w:rPr>
              <w:t>评价维度</w:t>
            </w:r>
          </w:p>
        </w:tc>
        <w:tc>
          <w:tcPr>
            <w:tcW w:w="4170" w:type="pct"/>
            <w:vAlign w:val="center"/>
          </w:tcPr>
          <w:p>
            <w:pPr>
              <w:widowControl w:val="0"/>
              <w:jc w:val="center"/>
              <w:rPr>
                <w:rFonts w:ascii="Times New Roman" w:hAnsi="Times New Roman" w:eastAsia="仿宋_GB2312" w:cs="Times New Roman"/>
                <w:b/>
                <w:bCs/>
                <w:spacing w:val="-12"/>
                <w:lang w:eastAsia="en-US" w:bidi="en-US"/>
              </w:rPr>
            </w:pPr>
            <w:r>
              <w:rPr>
                <w:rFonts w:ascii="Times New Roman" w:hAnsi="Times New Roman" w:eastAsia="黑体" w:cs="Times New Roman"/>
                <w:b/>
                <w:bCs/>
                <w:spacing w:val="-12"/>
                <w:kern w:val="2"/>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0" w:type="pct"/>
            <w:vAlign w:val="center"/>
          </w:tcPr>
          <w:p>
            <w:pPr>
              <w:snapToGrid w:val="0"/>
              <w:jc w:val="center"/>
              <w:rPr>
                <w:rFonts w:ascii="仿宋" w:hAnsi="仿宋" w:eastAsia="仿宋" w:cs="Times New Roman"/>
                <w:b/>
                <w:bCs/>
                <w:spacing w:val="-12"/>
                <w:lang w:eastAsia="en-US" w:bidi="en-US"/>
              </w:rPr>
            </w:pPr>
            <w:r>
              <w:rPr>
                <w:rFonts w:ascii="仿宋" w:hAnsi="仿宋" w:eastAsia="仿宋" w:cs="Times New Roman"/>
                <w:b/>
                <w:bCs/>
                <w:spacing w:val="-12"/>
                <w:lang w:eastAsia="en-US" w:bidi="en-US"/>
              </w:rPr>
              <w:t>理念与目标</w:t>
            </w:r>
          </w:p>
        </w:tc>
        <w:tc>
          <w:tcPr>
            <w:tcW w:w="4170" w:type="pct"/>
            <w:vAlign w:val="center"/>
          </w:tcPr>
          <w:p>
            <w:pPr>
              <w:snapToGrid w:val="0"/>
              <w:rPr>
                <w:rFonts w:ascii="仿宋" w:hAnsi="仿宋" w:eastAsia="仿宋" w:cs="Times New Roman"/>
                <w:spacing w:val="-12"/>
                <w:lang w:bidi="en-US"/>
              </w:rPr>
            </w:pPr>
            <w:r>
              <w:rPr>
                <w:rFonts w:ascii="仿宋" w:hAnsi="仿宋" w:eastAsia="仿宋" w:cs="Times New Roman"/>
                <w:spacing w:val="-12"/>
                <w:lang w:bidi="en-US"/>
              </w:rPr>
              <w:t>课程设计体现“以学生发展为中心”的理念，教学目标符合专业课程特点、学生实际，清楚具体，易于理解，便于实施，助力拔尖创新人才培养。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0" w:type="pct"/>
            <w:vMerge w:val="restart"/>
            <w:vAlign w:val="center"/>
          </w:tcPr>
          <w:p>
            <w:pPr>
              <w:snapToGrid w:val="0"/>
              <w:jc w:val="center"/>
              <w:rPr>
                <w:rFonts w:ascii="仿宋" w:hAnsi="仿宋" w:eastAsia="仿宋" w:cs="Times New Roman"/>
                <w:b/>
                <w:bCs/>
                <w:spacing w:val="-12"/>
                <w:lang w:eastAsia="en-US" w:bidi="en-US"/>
              </w:rPr>
            </w:pPr>
            <w:r>
              <w:rPr>
                <w:rFonts w:ascii="仿宋" w:hAnsi="仿宋" w:eastAsia="仿宋" w:cs="Times New Roman"/>
                <w:b/>
                <w:bCs/>
                <w:spacing w:val="-12"/>
                <w:lang w:eastAsia="en-US" w:bidi="en-US"/>
              </w:rPr>
              <w:t>内容分析</w:t>
            </w:r>
          </w:p>
        </w:tc>
        <w:tc>
          <w:tcPr>
            <w:tcW w:w="4170" w:type="pct"/>
            <w:vAlign w:val="center"/>
          </w:tcPr>
          <w:p>
            <w:pPr>
              <w:snapToGrid w:val="0"/>
              <w:rPr>
                <w:rFonts w:ascii="仿宋" w:hAnsi="仿宋" w:eastAsia="仿宋" w:cs="Times New Roman"/>
                <w:spacing w:val="-12"/>
                <w:lang w:bidi="en-US"/>
              </w:rPr>
            </w:pPr>
            <w:r>
              <w:rPr>
                <w:rFonts w:ascii="仿宋" w:hAnsi="仿宋" w:eastAsia="仿宋" w:cs="Times New Roman"/>
                <w:spacing w:val="-12"/>
                <w:lang w:bidi="en-US"/>
              </w:rPr>
              <w:t>紧密对接产业链和创新链，及时将学科研究新进展、实践发展新经验、社会需求新变化、思政教育有机融入课程教学内容，更新及时</w:t>
            </w:r>
            <w:r>
              <w:rPr>
                <w:rFonts w:hint="eastAsia" w:ascii="仿宋" w:hAnsi="仿宋" w:eastAsia="仿宋" w:cs="Times New Roman"/>
                <w:spacing w:val="-12"/>
                <w:lang w:bidi="en-US"/>
              </w:rPr>
              <w:t>，动态完善</w:t>
            </w:r>
            <w:r>
              <w:rPr>
                <w:rFonts w:ascii="仿宋" w:hAnsi="仿宋" w:eastAsia="仿宋" w:cs="Times New Roman"/>
                <w:spacing w:val="-12"/>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0" w:type="pct"/>
            <w:vMerge w:val="continue"/>
            <w:vAlign w:val="center"/>
          </w:tcPr>
          <w:p>
            <w:pPr>
              <w:snapToGrid w:val="0"/>
              <w:jc w:val="center"/>
              <w:rPr>
                <w:rFonts w:ascii="仿宋" w:hAnsi="仿宋" w:eastAsia="仿宋" w:cs="Times New Roman"/>
                <w:b/>
                <w:bCs/>
                <w:spacing w:val="-12"/>
                <w:lang w:bidi="en-US"/>
              </w:rPr>
            </w:pPr>
          </w:p>
        </w:tc>
        <w:tc>
          <w:tcPr>
            <w:tcW w:w="4170" w:type="pct"/>
            <w:vAlign w:val="center"/>
          </w:tcPr>
          <w:p>
            <w:pPr>
              <w:snapToGrid w:val="0"/>
              <w:rPr>
                <w:rFonts w:ascii="仿宋" w:hAnsi="仿宋" w:eastAsia="仿宋" w:cs="Times New Roman"/>
                <w:spacing w:val="-12"/>
                <w:lang w:bidi="en-US"/>
              </w:rPr>
            </w:pPr>
            <w:r>
              <w:rPr>
                <w:rFonts w:hint="eastAsia" w:ascii="仿宋" w:hAnsi="仿宋" w:eastAsia="仿宋" w:cs="Times New Roman"/>
                <w:spacing w:val="-12"/>
                <w:lang w:bidi="en-US"/>
              </w:rPr>
              <w:t>避免“两张皮”，将专业课程知识点关系、地位、作用纳入到产业发展的新环境、新背景中去讲授，</w:t>
            </w:r>
            <w:r>
              <w:rPr>
                <w:rFonts w:ascii="仿宋" w:hAnsi="仿宋" w:eastAsia="仿宋" w:cs="Times New Roman"/>
                <w:spacing w:val="-12"/>
                <w:lang w:bidi="en-US"/>
              </w:rPr>
              <w:t>描述准确，</w:t>
            </w:r>
            <w:bookmarkStart w:id="4" w:name="_Hlk155010005"/>
            <w:r>
              <w:rPr>
                <w:rFonts w:ascii="仿宋" w:hAnsi="仿宋" w:eastAsia="仿宋" w:cs="Times New Roman"/>
                <w:spacing w:val="-12"/>
                <w:lang w:bidi="en-US"/>
              </w:rPr>
              <w:t>理论与实践结合合理，高校、行业企业内容分配合理</w:t>
            </w:r>
            <w:bookmarkEnd w:id="4"/>
            <w:r>
              <w:rPr>
                <w:rFonts w:ascii="仿宋" w:hAnsi="仿宋" w:eastAsia="仿宋" w:cs="Times New Roman"/>
                <w:spacing w:val="-12"/>
                <w:lang w:bidi="en-US"/>
              </w:rPr>
              <w:t>；参与教学的双师型师资队伍建设合理。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0" w:type="pct"/>
            <w:vMerge w:val="restart"/>
            <w:vAlign w:val="center"/>
          </w:tcPr>
          <w:p>
            <w:pPr>
              <w:snapToGrid w:val="0"/>
              <w:jc w:val="center"/>
              <w:rPr>
                <w:rFonts w:ascii="仿宋" w:hAnsi="仿宋" w:eastAsia="仿宋" w:cs="Times New Roman"/>
                <w:b/>
                <w:bCs/>
                <w:spacing w:val="-12"/>
                <w:lang w:eastAsia="en-US" w:bidi="en-US"/>
              </w:rPr>
            </w:pPr>
            <w:r>
              <w:rPr>
                <w:rFonts w:ascii="仿宋" w:hAnsi="仿宋" w:eastAsia="仿宋" w:cs="Times New Roman"/>
                <w:b/>
                <w:bCs/>
                <w:spacing w:val="-12"/>
                <w:lang w:eastAsia="en-US" w:bidi="en-US"/>
              </w:rPr>
              <w:t>过程与方法</w:t>
            </w:r>
          </w:p>
        </w:tc>
        <w:tc>
          <w:tcPr>
            <w:tcW w:w="4170" w:type="pct"/>
            <w:vAlign w:val="center"/>
          </w:tcPr>
          <w:p>
            <w:pPr>
              <w:snapToGrid w:val="0"/>
              <w:rPr>
                <w:rFonts w:ascii="仿宋" w:hAnsi="仿宋" w:eastAsia="仿宋" w:cs="Times New Roman"/>
                <w:spacing w:val="-12"/>
                <w:lang w:bidi="en-US"/>
              </w:rPr>
            </w:pPr>
            <w:r>
              <w:rPr>
                <w:rFonts w:ascii="仿宋" w:hAnsi="仿宋" w:eastAsia="仿宋" w:cs="Times New Roman"/>
                <w:spacing w:val="-12"/>
                <w:lang w:bidi="en-US"/>
              </w:rPr>
              <w:t>教学过程在行业企业真实场景下进行，培养学生分析解决复杂问题的能力以及创新创业的意识和能力，实践教学与生产实践对接。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0" w:type="pct"/>
            <w:vMerge w:val="continue"/>
            <w:vAlign w:val="center"/>
          </w:tcPr>
          <w:p>
            <w:pPr>
              <w:snapToGrid w:val="0"/>
              <w:jc w:val="center"/>
              <w:rPr>
                <w:rFonts w:ascii="仿宋" w:hAnsi="仿宋" w:eastAsia="仿宋" w:cs="Times New Roman"/>
                <w:spacing w:val="-12"/>
                <w:lang w:bidi="en-US"/>
              </w:rPr>
            </w:pPr>
          </w:p>
        </w:tc>
        <w:tc>
          <w:tcPr>
            <w:tcW w:w="4170" w:type="pct"/>
            <w:vAlign w:val="center"/>
          </w:tcPr>
          <w:p>
            <w:pPr>
              <w:snapToGrid w:val="0"/>
              <w:rPr>
                <w:rFonts w:ascii="仿宋" w:hAnsi="仿宋" w:eastAsia="仿宋" w:cs="Times New Roman"/>
                <w:spacing w:val="-12"/>
                <w:lang w:bidi="en-US"/>
              </w:rPr>
            </w:pPr>
            <w:r>
              <w:rPr>
                <w:rFonts w:ascii="仿宋" w:hAnsi="仿宋" w:eastAsia="仿宋" w:cs="Times New Roman"/>
                <w:spacing w:val="-12"/>
                <w:lang w:bidi="en-US"/>
              </w:rPr>
              <w:t>通过产教协同解决教学过程中存在的各种问题和困难；教学重点突出，难点把握准确，充分调动学生积极性、主动性和创造性。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0" w:type="pct"/>
            <w:vMerge w:val="continue"/>
            <w:vAlign w:val="center"/>
          </w:tcPr>
          <w:p>
            <w:pPr>
              <w:snapToGrid w:val="0"/>
              <w:jc w:val="center"/>
              <w:rPr>
                <w:rFonts w:ascii="仿宋" w:hAnsi="仿宋" w:eastAsia="仿宋" w:cs="Times New Roman"/>
                <w:spacing w:val="-12"/>
                <w:lang w:bidi="en-US"/>
              </w:rPr>
            </w:pPr>
          </w:p>
        </w:tc>
        <w:tc>
          <w:tcPr>
            <w:tcW w:w="4170" w:type="pct"/>
            <w:vAlign w:val="center"/>
          </w:tcPr>
          <w:p>
            <w:pPr>
              <w:snapToGrid w:val="0"/>
              <w:rPr>
                <w:rFonts w:ascii="仿宋" w:hAnsi="仿宋" w:eastAsia="仿宋" w:cs="Times New Roman"/>
                <w:spacing w:val="-12"/>
                <w:lang w:bidi="en-US"/>
              </w:rPr>
            </w:pPr>
            <w:r>
              <w:rPr>
                <w:rFonts w:ascii="仿宋" w:hAnsi="仿宋" w:eastAsia="仿宋" w:cs="Times New Roman"/>
                <w:spacing w:val="-12"/>
                <w:lang w:bidi="en-US"/>
              </w:rPr>
              <w:t>合理选择与应用数字化平台和技术，创设教学环境，强调自主、合作、探究的学习。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0" w:type="pct"/>
            <w:vAlign w:val="center"/>
          </w:tcPr>
          <w:p>
            <w:pPr>
              <w:snapToGrid w:val="0"/>
              <w:jc w:val="center"/>
              <w:rPr>
                <w:rFonts w:ascii="仿宋" w:hAnsi="仿宋" w:eastAsia="仿宋" w:cs="Times New Roman"/>
                <w:b/>
                <w:bCs/>
                <w:spacing w:val="-12"/>
                <w:lang w:eastAsia="en-US" w:bidi="en-US"/>
              </w:rPr>
            </w:pPr>
            <w:r>
              <w:rPr>
                <w:rFonts w:ascii="仿宋" w:hAnsi="仿宋" w:eastAsia="仿宋" w:cs="Times New Roman"/>
                <w:b/>
                <w:bCs/>
                <w:spacing w:val="-12"/>
                <w:lang w:bidi="en-US"/>
              </w:rPr>
              <w:t>考核评价</w:t>
            </w:r>
          </w:p>
        </w:tc>
        <w:tc>
          <w:tcPr>
            <w:tcW w:w="4170" w:type="pct"/>
            <w:vAlign w:val="center"/>
          </w:tcPr>
          <w:p>
            <w:pPr>
              <w:snapToGrid w:val="0"/>
              <w:rPr>
                <w:rFonts w:ascii="仿宋" w:hAnsi="仿宋" w:eastAsia="仿宋" w:cs="Times New Roman"/>
                <w:spacing w:val="-12"/>
                <w:lang w:bidi="en-US"/>
              </w:rPr>
            </w:pPr>
            <w:r>
              <w:rPr>
                <w:rFonts w:ascii="仿宋" w:hAnsi="仿宋" w:eastAsia="仿宋" w:cs="Times New Roman"/>
                <w:spacing w:val="-12"/>
                <w:lang w:bidi="en-US"/>
              </w:rPr>
              <w:t>评价方法和主体多元，</w:t>
            </w:r>
            <w:r>
              <w:rPr>
                <w:rFonts w:hint="eastAsia" w:ascii="仿宋" w:hAnsi="仿宋" w:eastAsia="仿宋" w:cs="Times New Roman"/>
                <w:spacing w:val="-12"/>
                <w:lang w:bidi="en-US"/>
              </w:rPr>
              <w:t>行业</w:t>
            </w:r>
            <w:r>
              <w:rPr>
                <w:rFonts w:ascii="仿宋" w:hAnsi="仿宋" w:eastAsia="仿宋" w:cs="Times New Roman"/>
                <w:spacing w:val="-12"/>
                <w:lang w:bidi="en-US"/>
              </w:rPr>
              <w:t>企业参与评价，过程性评价和终结性评价相结合，学生知识、能力和思维发展得到合理有效评价。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0" w:type="pct"/>
            <w:vAlign w:val="center"/>
          </w:tcPr>
          <w:p>
            <w:pPr>
              <w:snapToGrid w:val="0"/>
              <w:jc w:val="center"/>
              <w:rPr>
                <w:rFonts w:ascii="仿宋" w:hAnsi="仿宋" w:eastAsia="仿宋" w:cs="Times New Roman"/>
                <w:b/>
                <w:bCs/>
                <w:spacing w:val="-12"/>
                <w:lang w:eastAsia="en-US" w:bidi="en-US"/>
              </w:rPr>
            </w:pPr>
            <w:r>
              <w:rPr>
                <w:rFonts w:ascii="仿宋" w:hAnsi="仿宋" w:eastAsia="仿宋" w:cs="Times New Roman"/>
                <w:b/>
                <w:bCs/>
                <w:spacing w:val="-12"/>
                <w:lang w:eastAsia="en-US" w:bidi="en-US"/>
              </w:rPr>
              <w:t>设计创新</w:t>
            </w:r>
          </w:p>
        </w:tc>
        <w:tc>
          <w:tcPr>
            <w:tcW w:w="4170" w:type="pct"/>
            <w:vAlign w:val="center"/>
          </w:tcPr>
          <w:p>
            <w:pPr>
              <w:snapToGrid w:val="0"/>
              <w:rPr>
                <w:rFonts w:ascii="仿宋" w:hAnsi="仿宋" w:eastAsia="仿宋" w:cs="Times New Roman"/>
                <w:spacing w:val="-12"/>
                <w:lang w:bidi="en-US"/>
              </w:rPr>
            </w:pPr>
            <w:bookmarkStart w:id="5" w:name="_Hlk152943658"/>
            <w:r>
              <w:rPr>
                <w:rFonts w:ascii="仿宋" w:hAnsi="仿宋" w:eastAsia="仿宋" w:cs="Times New Roman"/>
                <w:spacing w:val="-12"/>
                <w:lang w:bidi="en-US"/>
              </w:rPr>
              <w:t>教学方案的整体设计富有创新性，</w:t>
            </w:r>
            <w:r>
              <w:rPr>
                <w:rFonts w:hint="eastAsia" w:ascii="仿宋" w:hAnsi="仿宋" w:eastAsia="仿宋" w:cs="Times New Roman"/>
                <w:spacing w:val="-12"/>
                <w:lang w:bidi="en-US"/>
              </w:rPr>
              <w:t>注重资源整合，</w:t>
            </w:r>
            <w:r>
              <w:rPr>
                <w:rFonts w:ascii="仿宋" w:hAnsi="仿宋" w:eastAsia="仿宋" w:cs="Times New Roman"/>
                <w:spacing w:val="-12"/>
                <w:lang w:bidi="en-US"/>
              </w:rPr>
              <w:t>能体现产教融合协同育人的教学理念</w:t>
            </w:r>
            <w:r>
              <w:rPr>
                <w:rFonts w:hint="eastAsia" w:ascii="仿宋" w:hAnsi="仿宋" w:eastAsia="仿宋" w:cs="Times New Roman"/>
                <w:spacing w:val="-12"/>
                <w:lang w:bidi="en-US"/>
              </w:rPr>
              <w:t>、思路和</w:t>
            </w:r>
            <w:r>
              <w:rPr>
                <w:rFonts w:ascii="仿宋" w:hAnsi="仿宋" w:eastAsia="仿宋" w:cs="Times New Roman"/>
                <w:spacing w:val="-12"/>
                <w:lang w:bidi="en-US"/>
              </w:rPr>
              <w:t>要求</w:t>
            </w:r>
            <w:bookmarkEnd w:id="5"/>
            <w:r>
              <w:rPr>
                <w:rFonts w:ascii="仿宋" w:hAnsi="仿宋" w:eastAsia="仿宋" w:cs="Times New Roman"/>
                <w:spacing w:val="-12"/>
                <w:lang w:bidi="en-US"/>
              </w:rPr>
              <w:t>；教学方法选择适当，教学过程设计有突出的特色。</w:t>
            </w:r>
          </w:p>
        </w:tc>
      </w:tr>
    </w:tbl>
    <w:p>
      <w:pPr>
        <w:pStyle w:val="2"/>
        <w:ind w:firstLine="480"/>
        <w:rPr>
          <w:rFonts w:ascii="仿宋" w:hAnsi="仿宋" w:eastAsia="仿宋"/>
        </w:rPr>
      </w:pPr>
      <w:bookmarkStart w:id="6" w:name="_Hlk151983153"/>
      <w:r>
        <w:rPr>
          <w:rFonts w:ascii="仿宋" w:hAnsi="仿宋" w:eastAsia="仿宋"/>
        </w:rPr>
        <w:br w:type="page"/>
      </w:r>
    </w:p>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4ZTQ1MDE2OTc1NTExMTYxYWFkMzBjNzU1NmUzNWQifQ=="/>
  </w:docVars>
  <w:rsids>
    <w:rsidRoot w:val="5CF135F0"/>
    <w:rsid w:val="5CF13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2024-03-11T03:30:00Z</dcterms:created>
  <dc:creator>赵人</dc:creator>
  <cp:lastModifiedBy>赵人</cp:lastModifiedBy>
  <dcterms:modified xsi:type="dcterms:W3CDTF">2024-03-11T03:31:08Z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25621EA857FA4F79925570B8ADFEE9B0_11</vt:lpwstr>
  </property>
</Properties>
</file>